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A6" w:rsidRPr="00CF23A6" w:rsidRDefault="00CF23A6" w:rsidP="00CF23A6">
      <w:pPr>
        <w:rPr>
          <w:b/>
          <w:sz w:val="28"/>
          <w:szCs w:val="28"/>
        </w:rPr>
      </w:pPr>
      <w:r w:rsidRPr="00CF23A6">
        <w:rPr>
          <w:b/>
          <w:sz w:val="28"/>
          <w:szCs w:val="28"/>
        </w:rPr>
        <w:t>Questionario sulla soddisfazione dell’utenza 2014</w:t>
      </w:r>
    </w:p>
    <w:p w:rsidR="00CF23A6" w:rsidRPr="00CF23A6" w:rsidRDefault="00CF23A6" w:rsidP="00CF23A6">
      <w:pPr>
        <w:rPr>
          <w:b/>
          <w:sz w:val="28"/>
          <w:szCs w:val="28"/>
        </w:rPr>
      </w:pPr>
      <w:r w:rsidRPr="00CF23A6">
        <w:rPr>
          <w:b/>
          <w:sz w:val="28"/>
          <w:szCs w:val="28"/>
        </w:rPr>
        <w:t xml:space="preserve"> Risposte agli utenti</w:t>
      </w:r>
    </w:p>
    <w:p w:rsidR="00CF23A6" w:rsidRDefault="00CF23A6" w:rsidP="0063340D">
      <w:pPr>
        <w:jc w:val="both"/>
      </w:pPr>
      <w:r>
        <w:t>Secondo i dati rilevati con il questionario sulla soddisfazione degli utenti somministrato a maggio 2014, il giudizio complessivo sui servizi forniti   dalla Biblioteca di Scienze Economiche “Marco Fanno” si attesta su valori positivi. Il gradimento medio su una scala da 1 a 10 è di 7.81.</w:t>
      </w:r>
    </w:p>
    <w:p w:rsidR="00CF23A6" w:rsidRPr="00CF23A6" w:rsidRDefault="00CF23A6" w:rsidP="0063340D">
      <w:pPr>
        <w:jc w:val="both"/>
        <w:rPr>
          <w:b/>
        </w:rPr>
      </w:pPr>
      <w:r w:rsidRPr="00CF23A6">
        <w:rPr>
          <w:b/>
        </w:rPr>
        <w:t>Commenti e proposte</w:t>
      </w:r>
    </w:p>
    <w:p w:rsidR="00CF23A6" w:rsidRDefault="00CF23A6" w:rsidP="0063340D">
      <w:pPr>
        <w:jc w:val="both"/>
      </w:pPr>
      <w:r>
        <w:t xml:space="preserve"> Nel 2014 si sono raccolti 118 questionari, più della metà di questi contengono suggerimenti o proposte</w:t>
      </w: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891"/>
        <w:gridCol w:w="664"/>
        <w:gridCol w:w="1581"/>
      </w:tblGrid>
      <w:tr w:rsidR="00CF23A6" w:rsidRPr="00F251D6" w:rsidTr="0087144E">
        <w:trPr>
          <w:trHeight w:val="375"/>
        </w:trPr>
        <w:tc>
          <w:tcPr>
            <w:tcW w:w="9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Suggerimenti su orari di apertura</w:t>
            </w:r>
          </w:p>
        </w:tc>
      </w:tr>
      <w:tr w:rsidR="00CF23A6" w:rsidRPr="00F251D6" w:rsidTr="0087144E">
        <w:trPr>
          <w:trHeight w:val="300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CF23A6" w:rsidRPr="00F251D6" w:rsidTr="0087144E">
        <w:trPr>
          <w:trHeight w:val="30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Posticipare chiusura feriale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65,3%</w:t>
            </w:r>
          </w:p>
        </w:tc>
      </w:tr>
      <w:tr w:rsidR="00CF23A6" w:rsidRPr="00F251D6" w:rsidTr="0087144E">
        <w:trPr>
          <w:trHeight w:val="30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Ampliare orario feriale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18,4%</w:t>
            </w:r>
          </w:p>
        </w:tc>
      </w:tr>
      <w:tr w:rsidR="00CF23A6" w:rsidRPr="00F251D6" w:rsidTr="0087144E">
        <w:trPr>
          <w:trHeight w:val="30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Anticipare apertura feriale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12,2%</w:t>
            </w:r>
          </w:p>
        </w:tc>
      </w:tr>
      <w:tr w:rsidR="00CF23A6" w:rsidRPr="00F251D6" w:rsidTr="0087144E">
        <w:trPr>
          <w:trHeight w:val="30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Apprezzamenti favorevoli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2,0%</w:t>
            </w:r>
          </w:p>
        </w:tc>
      </w:tr>
      <w:tr w:rsidR="00CF23A6" w:rsidRPr="00F251D6" w:rsidTr="0087144E">
        <w:trPr>
          <w:trHeight w:val="30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Aprire nel fine settimana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F251D6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51D6">
              <w:rPr>
                <w:rFonts w:ascii="Calibri" w:eastAsia="Times New Roman" w:hAnsi="Calibri" w:cs="Times New Roman"/>
                <w:color w:val="000000"/>
                <w:lang w:eastAsia="it-IT"/>
              </w:rPr>
              <w:t>2,0%</w:t>
            </w:r>
          </w:p>
        </w:tc>
      </w:tr>
    </w:tbl>
    <w:p w:rsidR="00CD741F" w:rsidRDefault="00CD741F" w:rsidP="0063340D">
      <w:pPr>
        <w:jc w:val="both"/>
      </w:pPr>
    </w:p>
    <w:p w:rsidR="00CF23A6" w:rsidRDefault="00CF23A6" w:rsidP="0063340D">
      <w:pPr>
        <w:jc w:val="both"/>
      </w:pPr>
      <w:r>
        <w:t>L’ampliamento degli orari di apertura è la richiesta che più viene fatta dagli studenti.</w:t>
      </w:r>
      <w:r w:rsidRPr="00AE1496">
        <w:t xml:space="preserve"> </w:t>
      </w:r>
    </w:p>
    <w:p w:rsidR="00CF23A6" w:rsidRDefault="00CF23A6" w:rsidP="0063340D">
      <w:pPr>
        <w:jc w:val="both"/>
      </w:pPr>
      <w:r>
        <w:t>Per venire incontro alle richieste degli utenti, a partire dal giorno 4 del mese di Maggio 2015 l’apertura della Biblioteca verrà anticipata alle ore 8.30. Posticipare l’orario di chiusura non è al momento praticabile</w:t>
      </w:r>
      <w:r w:rsidR="00CD741F">
        <w:t>, principalmente per questioni economiche</w:t>
      </w:r>
      <w:r>
        <w:t>.</w:t>
      </w:r>
    </w:p>
    <w:p w:rsidR="00CF23A6" w:rsidRDefault="00CF23A6" w:rsidP="0063340D">
      <w:pPr>
        <w:jc w:val="both"/>
      </w:pPr>
      <w:r>
        <w:t>Il Centro di Ateneo per le Biblioteche, in base alla logistica, alla sicurezza e alle risorse economiche a disposizione, ha fornito una parziale risposta a questa esigenza con l’apertura serale,</w:t>
      </w:r>
      <w:r w:rsidR="00CD741F">
        <w:t xml:space="preserve"> </w:t>
      </w:r>
      <w:r>
        <w:t xml:space="preserve">prefestiva e festiva  dell’Emeroteca Ca’ </w:t>
      </w:r>
      <w:proofErr w:type="spellStart"/>
      <w:r>
        <w:t>Borin</w:t>
      </w:r>
      <w:proofErr w:type="spellEnd"/>
      <w:r>
        <w:t xml:space="preserve">, della Biblioteca di Psicologia e Biblioteca di Palazzo  </w:t>
      </w:r>
      <w:proofErr w:type="spellStart"/>
      <w:r>
        <w:t>Maldura</w:t>
      </w:r>
      <w:proofErr w:type="spellEnd"/>
      <w:r>
        <w:t xml:space="preserve">. </w:t>
      </w:r>
    </w:p>
    <w:p w:rsidR="00CF23A6" w:rsidRPr="00CF23A6" w:rsidRDefault="00CF23A6" w:rsidP="0063340D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F23A6">
        <w:rPr>
          <w:rFonts w:eastAsia="Times New Roman" w:cs="Arial"/>
          <w:lang w:eastAsia="it-IT"/>
        </w:rPr>
        <w:t>Nel Polo di Scienze Sociali è stato istituito il</w:t>
      </w:r>
      <w:r>
        <w:rPr>
          <w:rFonts w:eastAsia="Times New Roman" w:cs="Arial"/>
          <w:lang w:eastAsia="it-IT"/>
        </w:rPr>
        <w:t xml:space="preserve"> </w:t>
      </w:r>
      <w:r w:rsidRPr="00CF23A6">
        <w:rPr>
          <w:rFonts w:eastAsia="Times New Roman" w:cs="Arial"/>
          <w:lang w:eastAsia="it-IT"/>
        </w:rPr>
        <w:t>servizio di prestito per studenti lavoratori,</w:t>
      </w:r>
      <w:r>
        <w:rPr>
          <w:rFonts w:eastAsia="Times New Roman" w:cs="Arial"/>
          <w:lang w:eastAsia="it-IT"/>
        </w:rPr>
        <w:t xml:space="preserve"> che prevede il</w:t>
      </w:r>
      <w:r w:rsidRPr="00CF23A6">
        <w:rPr>
          <w:rFonts w:eastAsia="Times New Roman" w:cs="Arial"/>
          <w:lang w:eastAsia="it-IT"/>
        </w:rPr>
        <w:t xml:space="preserve"> ritiro</w:t>
      </w:r>
    </w:p>
    <w:p w:rsidR="00CD741F" w:rsidRDefault="00CF23A6" w:rsidP="00CD741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F23A6">
        <w:rPr>
          <w:rFonts w:eastAsia="Times New Roman" w:cs="Arial"/>
          <w:lang w:eastAsia="it-IT"/>
        </w:rPr>
        <w:t xml:space="preserve">e </w:t>
      </w:r>
      <w:r>
        <w:rPr>
          <w:rFonts w:eastAsia="Times New Roman" w:cs="Arial"/>
          <w:lang w:eastAsia="it-IT"/>
        </w:rPr>
        <w:t xml:space="preserve">la </w:t>
      </w:r>
      <w:r w:rsidRPr="00CF23A6">
        <w:rPr>
          <w:rFonts w:eastAsia="Times New Roman" w:cs="Arial"/>
          <w:lang w:eastAsia="it-IT"/>
        </w:rPr>
        <w:t>restituzione</w:t>
      </w:r>
      <w:r>
        <w:rPr>
          <w:rFonts w:eastAsia="Times New Roman" w:cs="Arial"/>
          <w:lang w:eastAsia="it-IT"/>
        </w:rPr>
        <w:t xml:space="preserve"> </w:t>
      </w:r>
      <w:r w:rsidRPr="00CF23A6">
        <w:rPr>
          <w:rFonts w:eastAsia="Times New Roman" w:cs="Arial"/>
          <w:lang w:eastAsia="it-IT"/>
        </w:rPr>
        <w:t>dei libri presso l’Emeroteca</w:t>
      </w:r>
      <w:r>
        <w:rPr>
          <w:rFonts w:eastAsia="Times New Roman" w:cs="Arial"/>
          <w:lang w:eastAsia="it-IT"/>
        </w:rPr>
        <w:t xml:space="preserve"> Ca’ </w:t>
      </w:r>
      <w:proofErr w:type="spellStart"/>
      <w:r>
        <w:rPr>
          <w:rFonts w:eastAsia="Times New Roman" w:cs="Arial"/>
          <w:lang w:eastAsia="it-IT"/>
        </w:rPr>
        <w:t>Borin</w:t>
      </w:r>
      <w:proofErr w:type="spellEnd"/>
      <w:r>
        <w:rPr>
          <w:rFonts w:eastAsia="Times New Roman" w:cs="Arial"/>
          <w:lang w:eastAsia="it-IT"/>
        </w:rPr>
        <w:t>,</w:t>
      </w:r>
      <w:r w:rsidRPr="00CF23A6">
        <w:rPr>
          <w:rFonts w:eastAsia="Times New Roman" w:cs="Arial"/>
          <w:lang w:eastAsia="it-IT"/>
        </w:rPr>
        <w:t xml:space="preserve"> durante l’orario prolungato</w:t>
      </w:r>
      <w:r>
        <w:rPr>
          <w:rFonts w:eastAsia="Times New Roman" w:cs="Arial"/>
          <w:lang w:eastAsia="it-IT"/>
        </w:rPr>
        <w:t xml:space="preserve"> </w:t>
      </w:r>
      <w:r w:rsidRPr="00CF23A6">
        <w:rPr>
          <w:rFonts w:eastAsia="Times New Roman" w:cs="Arial"/>
          <w:lang w:eastAsia="it-IT"/>
        </w:rPr>
        <w:t>di apertura.</w:t>
      </w:r>
    </w:p>
    <w:p w:rsidR="00CD741F" w:rsidRPr="00CD741F" w:rsidRDefault="00CD741F" w:rsidP="00CD741F">
      <w:pPr>
        <w:spacing w:after="0" w:line="240" w:lineRule="auto"/>
        <w:jc w:val="both"/>
        <w:rPr>
          <w:rFonts w:eastAsia="Times New Roman" w:cs="Arial"/>
          <w:lang w:eastAsia="it-IT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052"/>
        <w:gridCol w:w="364"/>
        <w:gridCol w:w="811"/>
      </w:tblGrid>
      <w:tr w:rsidR="00CF23A6" w:rsidRPr="008532D3" w:rsidTr="0087144E">
        <w:trPr>
          <w:trHeight w:val="375"/>
        </w:trPr>
        <w:tc>
          <w:tcPr>
            <w:tcW w:w="9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Suggerimenti su logistica e spazi</w:t>
            </w:r>
          </w:p>
        </w:tc>
      </w:tr>
      <w:tr w:rsidR="00CF23A6" w:rsidRPr="008532D3" w:rsidTr="0087144E">
        <w:trPr>
          <w:trHeight w:val="300"/>
        </w:trPr>
        <w:tc>
          <w:tcPr>
            <w:tcW w:w="8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CF23A6" w:rsidRPr="008532D3" w:rsidTr="0087144E">
        <w:trPr>
          <w:trHeight w:val="300"/>
        </w:trPr>
        <w:tc>
          <w:tcPr>
            <w:tcW w:w="8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Migliorare rete elettrica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18,4%</w:t>
            </w:r>
          </w:p>
        </w:tc>
      </w:tr>
      <w:tr w:rsidR="00CF23A6" w:rsidRPr="008532D3" w:rsidTr="0087144E">
        <w:trPr>
          <w:trHeight w:val="300"/>
        </w:trPr>
        <w:tc>
          <w:tcPr>
            <w:tcW w:w="8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Più posti a sedere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18,4%</w:t>
            </w:r>
          </w:p>
        </w:tc>
      </w:tr>
      <w:tr w:rsidR="00CF23A6" w:rsidRPr="008532D3" w:rsidTr="0087144E">
        <w:trPr>
          <w:trHeight w:val="300"/>
        </w:trPr>
        <w:tc>
          <w:tcPr>
            <w:tcW w:w="8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Commenti su postazioni informatiche e loro organizzazione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15,8%</w:t>
            </w:r>
          </w:p>
        </w:tc>
      </w:tr>
      <w:tr w:rsidR="00CF23A6" w:rsidRPr="008532D3" w:rsidTr="0087144E">
        <w:trPr>
          <w:trHeight w:val="300"/>
        </w:trPr>
        <w:tc>
          <w:tcPr>
            <w:tcW w:w="8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Migliorare le condizioni ambientali (clima, riscaldamento, </w:t>
            </w:r>
            <w:proofErr w:type="spellStart"/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illuminazione…</w:t>
            </w:r>
            <w:proofErr w:type="spellEnd"/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13,2%</w:t>
            </w:r>
          </w:p>
        </w:tc>
      </w:tr>
      <w:tr w:rsidR="00CF23A6" w:rsidRPr="008532D3" w:rsidTr="0087144E">
        <w:trPr>
          <w:trHeight w:val="300"/>
        </w:trPr>
        <w:tc>
          <w:tcPr>
            <w:tcW w:w="8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Migliorare l'insonorizzazione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13,2%</w:t>
            </w:r>
          </w:p>
        </w:tc>
      </w:tr>
      <w:tr w:rsidR="00CF23A6" w:rsidRPr="008532D3" w:rsidTr="0087144E">
        <w:trPr>
          <w:trHeight w:val="300"/>
        </w:trPr>
        <w:tc>
          <w:tcPr>
            <w:tcW w:w="8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Riorganizzare spazi interni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7,9%</w:t>
            </w:r>
          </w:p>
        </w:tc>
      </w:tr>
      <w:tr w:rsidR="00CF23A6" w:rsidRPr="008532D3" w:rsidTr="0087144E">
        <w:trPr>
          <w:trHeight w:val="300"/>
        </w:trPr>
        <w:tc>
          <w:tcPr>
            <w:tcW w:w="8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Apprezzamenti favorevoli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5,3%</w:t>
            </w:r>
          </w:p>
        </w:tc>
      </w:tr>
      <w:tr w:rsidR="00CF23A6" w:rsidRPr="008532D3" w:rsidTr="0087144E">
        <w:trPr>
          <w:trHeight w:val="300"/>
        </w:trPr>
        <w:tc>
          <w:tcPr>
            <w:tcW w:w="8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Migliorare i locali integrativi alla biblioteca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5,3%</w:t>
            </w:r>
          </w:p>
        </w:tc>
      </w:tr>
      <w:tr w:rsidR="00CF23A6" w:rsidRPr="008532D3" w:rsidTr="0087144E">
        <w:trPr>
          <w:trHeight w:val="300"/>
        </w:trPr>
        <w:tc>
          <w:tcPr>
            <w:tcW w:w="8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color w:val="000000"/>
                <w:lang w:eastAsia="it-IT"/>
              </w:rPr>
              <w:t>2,6%</w:t>
            </w:r>
          </w:p>
        </w:tc>
      </w:tr>
      <w:tr w:rsidR="00CF23A6" w:rsidRPr="008532D3" w:rsidTr="0087144E">
        <w:trPr>
          <w:trHeight w:val="300"/>
        </w:trPr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8532D3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2D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CD741F" w:rsidRDefault="00CD741F" w:rsidP="0063340D">
      <w:pPr>
        <w:jc w:val="both"/>
      </w:pPr>
    </w:p>
    <w:p w:rsidR="00CD741F" w:rsidRDefault="0087144E" w:rsidP="0063340D">
      <w:pPr>
        <w:jc w:val="both"/>
      </w:pPr>
      <w:r>
        <w:lastRenderedPageBreak/>
        <w:t>Alcuni utenti chiedono l’aumento di posti a sedere</w:t>
      </w:r>
      <w:r w:rsidR="0063340D">
        <w:t>,</w:t>
      </w:r>
      <w:r>
        <w:t xml:space="preserve"> ma il numero, la grandezza o la disposizione dei tavoli</w:t>
      </w:r>
      <w:r w:rsidR="0063340D">
        <w:t xml:space="preserve"> possono essere difficilmente soddisfatte,  per problemi legati alla sicurezza.</w:t>
      </w:r>
    </w:p>
    <w:p w:rsidR="0063340D" w:rsidRDefault="00CF23A6" w:rsidP="0063340D">
      <w:pPr>
        <w:jc w:val="both"/>
      </w:pPr>
      <w:r>
        <w:t xml:space="preserve">Per quanto riguarda le migliorie inerenti la rete elettrica,  </w:t>
      </w:r>
      <w:r w:rsidR="0063340D">
        <w:t xml:space="preserve">le </w:t>
      </w:r>
      <w:r>
        <w:t xml:space="preserve">postazioni informatiche e  </w:t>
      </w:r>
      <w:r w:rsidR="0063340D">
        <w:t xml:space="preserve">le </w:t>
      </w:r>
      <w:r>
        <w:t xml:space="preserve">condizioni ambientali, </w:t>
      </w:r>
      <w:r w:rsidR="0063340D">
        <w:t>sono stati informati gli uffici tecnici dell’Ateneo.</w:t>
      </w: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66"/>
        <w:gridCol w:w="407"/>
        <w:gridCol w:w="1263"/>
      </w:tblGrid>
      <w:tr w:rsidR="00CF23A6" w:rsidRPr="00CF13A4" w:rsidTr="0087144E">
        <w:trPr>
          <w:trHeight w:val="375"/>
        </w:trPr>
        <w:tc>
          <w:tcPr>
            <w:tcW w:w="9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F23A6" w:rsidRPr="00CF13A4" w:rsidRDefault="0063340D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t xml:space="preserve"> </w:t>
            </w:r>
            <w:r w:rsidR="00CF23A6" w:rsidRPr="00CF13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Suggerimenti sul personale</w:t>
            </w:r>
          </w:p>
        </w:tc>
      </w:tr>
      <w:tr w:rsidR="00CF23A6" w:rsidRPr="00CF13A4" w:rsidTr="0087144E">
        <w:trPr>
          <w:trHeight w:val="300"/>
        </w:trPr>
        <w:tc>
          <w:tcPr>
            <w:tcW w:w="7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CF23A6" w:rsidRPr="00CF13A4" w:rsidTr="0087144E">
        <w:trPr>
          <w:trHeight w:val="300"/>
        </w:trPr>
        <w:tc>
          <w:tcPr>
            <w:tcW w:w="7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color w:val="000000"/>
                <w:lang w:eastAsia="it-IT"/>
              </w:rPr>
              <w:t>Apprezzamenti favorevoli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color w:val="000000"/>
                <w:lang w:eastAsia="it-IT"/>
              </w:rPr>
              <w:t>42,9%</w:t>
            </w:r>
          </w:p>
        </w:tc>
      </w:tr>
      <w:tr w:rsidR="00CF23A6" w:rsidRPr="00CF13A4" w:rsidTr="0087144E">
        <w:trPr>
          <w:trHeight w:val="300"/>
        </w:trPr>
        <w:tc>
          <w:tcPr>
            <w:tcW w:w="7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color w:val="000000"/>
                <w:lang w:eastAsia="it-IT"/>
              </w:rPr>
              <w:t>Richiesta di maggior cortesia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color w:val="000000"/>
                <w:lang w:eastAsia="it-IT"/>
              </w:rPr>
              <w:t>28,6%</w:t>
            </w:r>
          </w:p>
        </w:tc>
      </w:tr>
      <w:tr w:rsidR="00CF23A6" w:rsidRPr="00CF13A4" w:rsidTr="0087144E">
        <w:trPr>
          <w:trHeight w:val="300"/>
        </w:trPr>
        <w:tc>
          <w:tcPr>
            <w:tcW w:w="7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color w:val="000000"/>
                <w:lang w:eastAsia="it-IT"/>
              </w:rPr>
              <w:t>Comportamenti poco consoni del personale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color w:val="000000"/>
                <w:lang w:eastAsia="it-IT"/>
              </w:rPr>
              <w:t>14,3%</w:t>
            </w:r>
          </w:p>
        </w:tc>
      </w:tr>
      <w:tr w:rsidR="00CF23A6" w:rsidRPr="00CF13A4" w:rsidTr="0087144E">
        <w:trPr>
          <w:trHeight w:val="300"/>
        </w:trPr>
        <w:tc>
          <w:tcPr>
            <w:tcW w:w="7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color w:val="000000"/>
                <w:lang w:eastAsia="it-IT"/>
              </w:rPr>
              <w:t>Richiesta che il personale parli a bassa voce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color w:val="000000"/>
                <w:lang w:eastAsia="it-IT"/>
              </w:rPr>
              <w:t>14,3%</w:t>
            </w:r>
          </w:p>
        </w:tc>
      </w:tr>
      <w:tr w:rsidR="00CF23A6" w:rsidRPr="00CF13A4" w:rsidTr="0087144E">
        <w:trPr>
          <w:trHeight w:val="300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CF13A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F13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CD741F" w:rsidRDefault="00CD741F" w:rsidP="0063340D">
      <w:pPr>
        <w:spacing w:after="0"/>
      </w:pPr>
    </w:p>
    <w:p w:rsidR="00CF23A6" w:rsidRDefault="0063340D" w:rsidP="0063340D">
      <w:pPr>
        <w:spacing w:after="0"/>
      </w:pPr>
      <w:r>
        <w:t>Il voto sulla cortesia e disponibilità del personale è 8/10, tuttavia ci sono stati 3 utenti che non hanno espresso commenti positivi e uno ha richiesto che si parli più a bassa voce.</w:t>
      </w:r>
    </w:p>
    <w:p w:rsidR="0063340D" w:rsidRPr="0063340D" w:rsidRDefault="0063340D" w:rsidP="0063340D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63340D">
        <w:rPr>
          <w:rFonts w:eastAsia="Times New Roman" w:cs="Arial"/>
          <w:lang w:eastAsia="it-IT"/>
        </w:rPr>
        <w:t xml:space="preserve">Accogliamo il suggerimento di esercitare un maggior controllo sul comportamento degli utenti, </w:t>
      </w:r>
      <w:r>
        <w:rPr>
          <w:rFonts w:eastAsia="Times New Roman" w:cs="Arial"/>
          <w:lang w:eastAsia="it-IT"/>
        </w:rPr>
        <w:t xml:space="preserve">che disturbano in biblioteca, </w:t>
      </w:r>
      <w:r w:rsidRPr="0063340D">
        <w:rPr>
          <w:rFonts w:eastAsia="Times New Roman" w:cs="Arial"/>
          <w:lang w:eastAsia="it-IT"/>
        </w:rPr>
        <w:t xml:space="preserve">cercando nel contempo di eliminare le sacche di insoddisfazione riguardanti gli aspetti della </w:t>
      </w:r>
      <w:r>
        <w:rPr>
          <w:rFonts w:eastAsia="Times New Roman" w:cs="Arial"/>
          <w:lang w:eastAsia="it-IT"/>
        </w:rPr>
        <w:t>cortesia del personale.</w:t>
      </w:r>
    </w:p>
    <w:p w:rsidR="0063340D" w:rsidRDefault="0063340D" w:rsidP="0063340D">
      <w:pPr>
        <w:spacing w:after="0"/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75"/>
        <w:gridCol w:w="344"/>
        <w:gridCol w:w="1029"/>
      </w:tblGrid>
      <w:tr w:rsidR="00CF23A6" w:rsidRPr="00D704BB" w:rsidTr="0087144E">
        <w:trPr>
          <w:trHeight w:val="375"/>
        </w:trPr>
        <w:tc>
          <w:tcPr>
            <w:tcW w:w="9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Suggerimenti sul patrimonio bibliografico</w:t>
            </w:r>
          </w:p>
        </w:tc>
      </w:tr>
      <w:tr w:rsidR="00CF23A6" w:rsidRPr="00D704BB" w:rsidTr="0087144E">
        <w:trPr>
          <w:trHeight w:val="300"/>
        </w:trPr>
        <w:tc>
          <w:tcPr>
            <w:tcW w:w="7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CF23A6" w:rsidRPr="00D704BB" w:rsidTr="0087144E">
        <w:trPr>
          <w:trHeight w:val="300"/>
        </w:trPr>
        <w:tc>
          <w:tcPr>
            <w:tcW w:w="7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Apprezzamenti favorevoli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28,6%</w:t>
            </w:r>
          </w:p>
        </w:tc>
      </w:tr>
      <w:tr w:rsidR="00CF23A6" w:rsidRPr="00D704BB" w:rsidTr="0087144E">
        <w:trPr>
          <w:trHeight w:val="300"/>
        </w:trPr>
        <w:tc>
          <w:tcPr>
            <w:tcW w:w="7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Aumentare i volumi di didattica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28,6%</w:t>
            </w:r>
          </w:p>
        </w:tc>
      </w:tr>
      <w:tr w:rsidR="00CF23A6" w:rsidRPr="00D704BB" w:rsidTr="0087144E">
        <w:trPr>
          <w:trHeight w:val="300"/>
        </w:trPr>
        <w:tc>
          <w:tcPr>
            <w:tcW w:w="7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14,3%</w:t>
            </w:r>
          </w:p>
        </w:tc>
      </w:tr>
      <w:tr w:rsidR="00CF23A6" w:rsidRPr="00D704BB" w:rsidTr="0087144E">
        <w:trPr>
          <w:trHeight w:val="300"/>
        </w:trPr>
        <w:tc>
          <w:tcPr>
            <w:tcW w:w="7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Aumentare il patrimonio bibliografico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14,3%</w:t>
            </w:r>
          </w:p>
        </w:tc>
      </w:tr>
      <w:tr w:rsidR="00CF23A6" w:rsidRPr="00D704BB" w:rsidTr="0087144E">
        <w:trPr>
          <w:trHeight w:val="300"/>
        </w:trPr>
        <w:tc>
          <w:tcPr>
            <w:tcW w:w="7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Richiesta di materiale più aggiornato/meglio conservato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14,3%</w:t>
            </w:r>
          </w:p>
        </w:tc>
      </w:tr>
      <w:tr w:rsidR="00CF23A6" w:rsidRPr="00D704BB" w:rsidTr="0087144E">
        <w:trPr>
          <w:trHeight w:val="300"/>
        </w:trPr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49524E" w:rsidRDefault="0049524E" w:rsidP="0049524E">
      <w:pPr>
        <w:spacing w:before="100" w:beforeAutospacing="1" w:after="0"/>
        <w:jc w:val="both"/>
        <w:rPr>
          <w:rFonts w:eastAsia="Times New Roman" w:cs="Times New Roman"/>
          <w:lang w:eastAsia="it-IT"/>
        </w:rPr>
      </w:pPr>
      <w:r>
        <w:t xml:space="preserve">La Biblioteca acquista in più copie tutti i testi d’esame inseriti nei programmi dei docenti dei Corsi di Laurea </w:t>
      </w:r>
      <w:r w:rsidRPr="0049524E">
        <w:rPr>
          <w:rFonts w:eastAsia="Times New Roman" w:cs="Times New Roman"/>
          <w:lang w:eastAsia="it-IT"/>
        </w:rPr>
        <w:t>in Scienze economiche e Aziendali</w:t>
      </w:r>
      <w:r>
        <w:rPr>
          <w:rFonts w:eastAsia="Times New Roman" w:cs="Times New Roman"/>
          <w:lang w:eastAsia="it-IT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7429"/>
        <w:gridCol w:w="510"/>
        <w:gridCol w:w="1633"/>
        <w:gridCol w:w="30"/>
        <w:gridCol w:w="81"/>
      </w:tblGrid>
      <w:tr w:rsidR="0049524E" w:rsidRPr="0049524E" w:rsidTr="0049524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524E" w:rsidRDefault="0049524E" w:rsidP="0049524E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Si ricorda che gli utenti della Biblioteca possono inviare proposte di acquisto all’indirizzo mail della biblioteca : </w:t>
            </w:r>
            <w:hyperlink r:id="rId4" w:history="1">
              <w:r w:rsidRPr="00F575D3">
                <w:rPr>
                  <w:rStyle w:val="Collegamentoipertestuale"/>
                  <w:rFonts w:eastAsia="Times New Roman" w:cs="Times New Roman"/>
                  <w:lang w:eastAsia="it-IT"/>
                </w:rPr>
                <w:t>biblio.decon@unipd.it</w:t>
              </w:r>
            </w:hyperlink>
            <w:r>
              <w:rPr>
                <w:rFonts w:eastAsia="Times New Roman" w:cs="Times New Roman"/>
                <w:lang w:eastAsia="it-IT"/>
              </w:rPr>
              <w:t>. Queste verranno vagliate dal Coordinatore Scientifico e dalla Commissione Biblioteca.</w:t>
            </w:r>
          </w:p>
          <w:p w:rsidR="0049524E" w:rsidRPr="0049524E" w:rsidRDefault="0049524E" w:rsidP="00495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524E" w:rsidRPr="0049524E" w:rsidRDefault="0049524E" w:rsidP="00495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3A6" w:rsidRPr="00D704BB" w:rsidTr="0049524E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trHeight w:val="375"/>
        </w:trPr>
        <w:tc>
          <w:tcPr>
            <w:tcW w:w="9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Suggerimenti sul prestito</w:t>
            </w:r>
          </w:p>
        </w:tc>
      </w:tr>
      <w:tr w:rsidR="00CF23A6" w:rsidRPr="00D704BB" w:rsidTr="0049524E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trHeight w:val="300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N.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%</w:t>
            </w:r>
          </w:p>
        </w:tc>
      </w:tr>
      <w:tr w:rsidR="00CF23A6" w:rsidRPr="00D704BB" w:rsidTr="0049524E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trHeight w:val="300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Apprezzamenti favorevoli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42,9%</w:t>
            </w:r>
          </w:p>
        </w:tc>
      </w:tr>
      <w:tr w:rsidR="00CF23A6" w:rsidRPr="00D704BB" w:rsidTr="0049524E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trHeight w:val="300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Aumentare il materiale prestabile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28,6%</w:t>
            </w:r>
          </w:p>
        </w:tc>
      </w:tr>
      <w:tr w:rsidR="00CF23A6" w:rsidRPr="00D704BB" w:rsidTr="0049524E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trHeight w:val="300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Aumentare la durata del prestito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color w:val="000000"/>
                <w:lang w:eastAsia="it-IT"/>
              </w:rPr>
              <w:t>28,6%</w:t>
            </w:r>
          </w:p>
        </w:tc>
      </w:tr>
      <w:tr w:rsidR="00CF23A6" w:rsidRPr="00D704BB" w:rsidTr="0049524E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trHeight w:val="300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D704BB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704B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CD741F" w:rsidRDefault="00CD741F" w:rsidP="00CF23A6"/>
    <w:p w:rsidR="00CF23A6" w:rsidRDefault="00CF23A6" w:rsidP="00CF23A6">
      <w:r>
        <w:t xml:space="preserve">Tutti i libri </w:t>
      </w:r>
      <w:r w:rsidR="0049524E">
        <w:t>della biblioteca sono prestabili, con l’eccezione di quelli rari e di pregio e una copia dei testi d’esame.</w:t>
      </w:r>
    </w:p>
    <w:p w:rsidR="00CD741F" w:rsidRDefault="00CD741F" w:rsidP="00CF23A6"/>
    <w:tbl>
      <w:tblPr>
        <w:tblW w:w="91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95"/>
        <w:gridCol w:w="338"/>
        <w:gridCol w:w="1021"/>
      </w:tblGrid>
      <w:tr w:rsidR="00CF23A6" w:rsidRPr="00C40354" w:rsidTr="00CD741F">
        <w:trPr>
          <w:trHeight w:val="375"/>
        </w:trPr>
        <w:tc>
          <w:tcPr>
            <w:tcW w:w="9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Suggerimenti sulle comunicazioni verso l'utenza</w:t>
            </w:r>
          </w:p>
        </w:tc>
      </w:tr>
      <w:tr w:rsidR="00CF23A6" w:rsidRPr="00C40354" w:rsidTr="00CD741F">
        <w:trPr>
          <w:trHeight w:val="300"/>
        </w:trPr>
        <w:tc>
          <w:tcPr>
            <w:tcW w:w="7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N.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%</w:t>
            </w:r>
          </w:p>
        </w:tc>
      </w:tr>
      <w:tr w:rsidR="00CF23A6" w:rsidRPr="00C40354" w:rsidTr="00CD741F">
        <w:trPr>
          <w:trHeight w:val="300"/>
        </w:trPr>
        <w:tc>
          <w:tcPr>
            <w:tcW w:w="7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Apprezzamenti favorevoli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40,0%</w:t>
            </w:r>
          </w:p>
        </w:tc>
      </w:tr>
      <w:tr w:rsidR="00CF23A6" w:rsidRPr="00C40354" w:rsidTr="00CD741F">
        <w:trPr>
          <w:trHeight w:val="300"/>
        </w:trPr>
        <w:tc>
          <w:tcPr>
            <w:tcW w:w="7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Aumentare le comunicazioni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20,0%</w:t>
            </w:r>
          </w:p>
        </w:tc>
      </w:tr>
      <w:tr w:rsidR="00CF23A6" w:rsidRPr="00C40354" w:rsidTr="00CD741F">
        <w:trPr>
          <w:trHeight w:val="300"/>
        </w:trPr>
        <w:tc>
          <w:tcPr>
            <w:tcW w:w="7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Aumentare le comunicazioni tramite social network/APP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20,0%</w:t>
            </w:r>
          </w:p>
        </w:tc>
      </w:tr>
      <w:tr w:rsidR="00CF23A6" w:rsidRPr="00C40354" w:rsidTr="00CD741F">
        <w:trPr>
          <w:trHeight w:val="300"/>
        </w:trPr>
        <w:tc>
          <w:tcPr>
            <w:tcW w:w="7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Aumentare le comunicazioni via web, </w:t>
            </w:r>
            <w:proofErr w:type="spellStart"/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newletter</w:t>
            </w:r>
            <w:proofErr w:type="spellEnd"/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, sms...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color w:val="000000"/>
                <w:lang w:eastAsia="it-IT"/>
              </w:rPr>
              <w:t>20,0%</w:t>
            </w:r>
          </w:p>
        </w:tc>
      </w:tr>
      <w:tr w:rsidR="00CF23A6" w:rsidRPr="00C40354" w:rsidTr="00CD741F">
        <w:trPr>
          <w:trHeight w:val="30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F23A6" w:rsidRPr="00C40354" w:rsidRDefault="00CF23A6" w:rsidP="00871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403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CD741F" w:rsidRDefault="00CD741F"/>
    <w:p w:rsidR="00E4049B" w:rsidRDefault="0049524E">
      <w:r>
        <w:t xml:space="preserve">La Biblioteca aggiorna costantemente le informazioni nella sua pagina web. Vengono pubblicizzati i corsi per l’utenza, i servizi per alcune categorie particolari, come i laureandi, o gli studenti lavoratori e alcune informazioni vengono postate nei social network, come </w:t>
      </w:r>
      <w:proofErr w:type="spellStart"/>
      <w:r>
        <w:t>Facebook</w:t>
      </w:r>
      <w:proofErr w:type="spellEnd"/>
      <w:r>
        <w:t xml:space="preserve"> e </w:t>
      </w:r>
      <w:proofErr w:type="spellStart"/>
      <w:r>
        <w:t>Twitter</w:t>
      </w:r>
      <w:proofErr w:type="spellEnd"/>
      <w:r>
        <w:t xml:space="preserve"> tramite l’Emeroteca di Ca’ </w:t>
      </w:r>
      <w:proofErr w:type="spellStart"/>
      <w:r>
        <w:t>Borin</w:t>
      </w:r>
      <w:proofErr w:type="spellEnd"/>
      <w:r>
        <w:t>.</w:t>
      </w:r>
    </w:p>
    <w:p w:rsidR="00E84522" w:rsidRDefault="00C178D6">
      <w:r>
        <w:t>Ringraziamo tutti coloro che hanno risposto al sondaggio e vi invitiamo anche nel 2015 a farci sapere in che modo la nostra Biblioteca può diventare più amichevole e vicina alle esigenze della sua utenza.</w:t>
      </w:r>
    </w:p>
    <w:p w:rsidR="00E84522" w:rsidRDefault="00E84522"/>
    <w:p w:rsidR="00E84522" w:rsidRDefault="00E84522"/>
    <w:p w:rsidR="00E84522" w:rsidRDefault="00E84522"/>
    <w:p w:rsidR="00E84522" w:rsidRDefault="00E84522"/>
    <w:p w:rsidR="00E84522" w:rsidRDefault="00E84522"/>
    <w:sectPr w:rsidR="00E84522" w:rsidSect="00871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CF23A6"/>
    <w:rsid w:val="0049524E"/>
    <w:rsid w:val="0063340D"/>
    <w:rsid w:val="0087144E"/>
    <w:rsid w:val="00C178D6"/>
    <w:rsid w:val="00C759AF"/>
    <w:rsid w:val="00CD741F"/>
    <w:rsid w:val="00CF23A6"/>
    <w:rsid w:val="00E4049B"/>
    <w:rsid w:val="00E8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5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.decon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vettmar24856</dc:creator>
  <cp:lastModifiedBy>vettmar24856</cp:lastModifiedBy>
  <cp:revision>4</cp:revision>
  <dcterms:created xsi:type="dcterms:W3CDTF">2015-04-15T13:47:00Z</dcterms:created>
  <dcterms:modified xsi:type="dcterms:W3CDTF">2015-04-22T08:17:00Z</dcterms:modified>
</cp:coreProperties>
</file>